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249F" w14:textId="77777777" w:rsidR="009926EE" w:rsidRDefault="00605654" w:rsidP="00E63DEB">
      <w:pPr>
        <w:pStyle w:val="Heading1"/>
      </w:pPr>
      <w:r>
        <w:t>Temperature-Based Remote Motor Control via the CAN Network</w:t>
      </w:r>
    </w:p>
    <w:p w14:paraId="2602AF78" w14:textId="77777777" w:rsidR="00605654" w:rsidRDefault="00605654" w:rsidP="000457E8">
      <w:pPr>
        <w:pStyle w:val="Heading2"/>
      </w:pPr>
      <w:r>
        <w:t>Objective</w:t>
      </w:r>
    </w:p>
    <w:p w14:paraId="501261EA" w14:textId="77777777" w:rsidR="00605654" w:rsidRDefault="00605654">
      <w:r>
        <w:t>Use the Melexis IR sensor to control the speed of a motor within configurable set points.</w:t>
      </w:r>
    </w:p>
    <w:p w14:paraId="6C43273F" w14:textId="77777777" w:rsidR="00605654" w:rsidRDefault="00605654" w:rsidP="000457E8">
      <w:pPr>
        <w:pStyle w:val="Heading2"/>
      </w:pPr>
      <w:r>
        <w:t>Resources</w:t>
      </w:r>
    </w:p>
    <w:p w14:paraId="67458289" w14:textId="77777777" w:rsidR="00605654" w:rsidRDefault="00605654">
      <w:r>
        <w:t>FreeRTOS, SMBus IR sensor, CAN controller</w:t>
      </w:r>
      <w:r w:rsidR="0020477E">
        <w:t>s</w:t>
      </w:r>
      <w:r>
        <w:t>, Input Capture module, Output Compare module</w:t>
      </w:r>
    </w:p>
    <w:p w14:paraId="70ADBC46" w14:textId="77777777" w:rsidR="00605654" w:rsidRDefault="00605654" w:rsidP="00517818">
      <w:pPr>
        <w:pStyle w:val="Heading2"/>
      </w:pPr>
      <w:r>
        <w:t>Description</w:t>
      </w:r>
    </w:p>
    <w:p w14:paraId="541CC8F5" w14:textId="77777777" w:rsidR="00605654" w:rsidRDefault="00E63DEB">
      <w:r>
        <w:t xml:space="preserve">Figure 1 gives an overall view of the project components. Please note that rather than two separate Cerebot boards we will use </w:t>
      </w:r>
      <w:r w:rsidRPr="00E63DEB">
        <w:rPr>
          <w:u w:val="single"/>
        </w:rPr>
        <w:t>two</w:t>
      </w:r>
      <w:r>
        <w:t xml:space="preserve"> CAN controllers in a </w:t>
      </w:r>
      <w:r w:rsidRPr="00E63DEB">
        <w:rPr>
          <w:u w:val="single"/>
        </w:rPr>
        <w:t>single</w:t>
      </w:r>
      <w:r>
        <w:t xml:space="preserve"> PIC32. (i.e., not loopback mode) The CAN controller on the left will be the “control” unit </w:t>
      </w:r>
      <w:r w:rsidR="00911CC6">
        <w:t>(CAN1</w:t>
      </w:r>
      <w:r w:rsidR="00742ACF">
        <w:t>, J9</w:t>
      </w:r>
      <w:r w:rsidR="00911CC6">
        <w:t xml:space="preserve">) </w:t>
      </w:r>
      <w:r>
        <w:t>and the one on the right is the “IO” unit</w:t>
      </w:r>
      <w:r w:rsidR="00911CC6">
        <w:t xml:space="preserve"> (CAN2</w:t>
      </w:r>
      <w:r w:rsidR="00742ACF">
        <w:t>, J10</w:t>
      </w:r>
      <w:r w:rsidR="00911CC6">
        <w:t>)</w:t>
      </w:r>
      <w:r>
        <w:t>. Their operation is as follows.</w:t>
      </w:r>
    </w:p>
    <w:p w14:paraId="6F563ED6" w14:textId="77777777" w:rsidR="00E63DEB" w:rsidRDefault="00E63DEB" w:rsidP="000457E8">
      <w:pPr>
        <w:pStyle w:val="Heading3"/>
      </w:pPr>
      <w:r>
        <w:t>IO Unit</w:t>
      </w:r>
      <w:r w:rsidR="00742ACF">
        <w:t xml:space="preserve"> – implemented using one or more tasks</w:t>
      </w:r>
    </w:p>
    <w:p w14:paraId="5AB57DCB" w14:textId="77777777" w:rsidR="00E63DEB" w:rsidRDefault="00E63DEB" w:rsidP="00E63DEB">
      <w:pPr>
        <w:pStyle w:val="ListParagraph"/>
        <w:numPr>
          <w:ilvl w:val="0"/>
          <w:numId w:val="1"/>
        </w:numPr>
      </w:pPr>
      <w:r>
        <w:t xml:space="preserve">The IO unit will read the temperature and the motor speed every </w:t>
      </w:r>
      <w:r w:rsidR="00791C0F">
        <w:t>500</w:t>
      </w:r>
      <w:r>
        <w:t xml:space="preserve"> ms.</w:t>
      </w:r>
    </w:p>
    <w:p w14:paraId="7FA7BDDE" w14:textId="77777777" w:rsidR="00E63DEB" w:rsidRDefault="00E63DEB" w:rsidP="00E63DEB">
      <w:pPr>
        <w:pStyle w:val="ListParagraph"/>
        <w:numPr>
          <w:ilvl w:val="0"/>
          <w:numId w:val="1"/>
        </w:numPr>
      </w:pPr>
      <w:r>
        <w:t xml:space="preserve">The unit will receive </w:t>
      </w:r>
      <w:r w:rsidR="007D0778">
        <w:t>Remote Frames (Remote Transmission Request) from the Control unit and respond with the temperature</w:t>
      </w:r>
      <w:r w:rsidR="0020477E">
        <w:t xml:space="preserve"> (F)</w:t>
      </w:r>
      <w:r w:rsidR="007D0778">
        <w:t>, average motor speed (RPS), and PWM setting (%).</w:t>
      </w:r>
    </w:p>
    <w:p w14:paraId="612BE7C8" w14:textId="77777777" w:rsidR="007D0778" w:rsidRDefault="007D0778" w:rsidP="00E63DEB">
      <w:pPr>
        <w:pStyle w:val="ListParagraph"/>
        <w:numPr>
          <w:ilvl w:val="0"/>
          <w:numId w:val="1"/>
        </w:numPr>
      </w:pPr>
      <w:r>
        <w:t xml:space="preserve">The unit will also receive Data Frames with </w:t>
      </w:r>
      <w:r w:rsidR="00196BF4">
        <w:t>desired</w:t>
      </w:r>
      <w:r>
        <w:t xml:space="preserve"> PWM settings for the motor.</w:t>
      </w:r>
    </w:p>
    <w:p w14:paraId="6C67C07D" w14:textId="77777777" w:rsidR="000457E8" w:rsidRDefault="000457E8" w:rsidP="00E63DEB">
      <w:pPr>
        <w:pStyle w:val="ListParagraph"/>
        <w:numPr>
          <w:ilvl w:val="0"/>
          <w:numId w:val="1"/>
        </w:numPr>
      </w:pPr>
      <w:r>
        <w:t>The unit powers up with a PWM value of zero.</w:t>
      </w:r>
    </w:p>
    <w:p w14:paraId="63507DA2" w14:textId="77777777" w:rsidR="007D0778" w:rsidRDefault="007D0778" w:rsidP="000457E8">
      <w:pPr>
        <w:pStyle w:val="Heading3"/>
      </w:pPr>
      <w:r>
        <w:t>Control Unit</w:t>
      </w:r>
      <w:r w:rsidR="00742ACF">
        <w:t xml:space="preserve"> – implemented using one or more tasks</w:t>
      </w:r>
    </w:p>
    <w:p w14:paraId="21F0A45E" w14:textId="77777777" w:rsidR="007D0778" w:rsidRDefault="000457E8" w:rsidP="000457E8">
      <w:pPr>
        <w:pStyle w:val="ListParagraph"/>
        <w:numPr>
          <w:ilvl w:val="0"/>
          <w:numId w:val="2"/>
        </w:numPr>
      </w:pPr>
      <w:r>
        <w:t>The Control unit will have two modes</w:t>
      </w:r>
      <w:r w:rsidR="00742ACF">
        <w:t>: configuration and operational</w:t>
      </w:r>
    </w:p>
    <w:p w14:paraId="27DE6EEF" w14:textId="77777777" w:rsidR="000457E8" w:rsidRDefault="0020477E" w:rsidP="000457E8">
      <w:pPr>
        <w:pStyle w:val="ListParagraph"/>
        <w:numPr>
          <w:ilvl w:val="0"/>
          <w:numId w:val="2"/>
        </w:numPr>
      </w:pPr>
      <w:r>
        <w:t>BTN</w:t>
      </w:r>
      <w:r w:rsidR="000457E8">
        <w:t>1, operated as</w:t>
      </w:r>
      <w:r>
        <w:t xml:space="preserve"> a</w:t>
      </w:r>
      <w:r w:rsidR="000457E8">
        <w:t xml:space="preserve"> push on/push off and controlling LED1, will cause the unit to toggle between the two modes.</w:t>
      </w:r>
      <w:r w:rsidR="000457E8" w:rsidRPr="000457E8">
        <w:t xml:space="preserve"> </w:t>
      </w:r>
      <w:r w:rsidR="00196BF4">
        <w:t>(LED1 “on” indicates “Operational” mode.)</w:t>
      </w:r>
    </w:p>
    <w:p w14:paraId="1B5296ED" w14:textId="52B44540" w:rsidR="000457E8" w:rsidRDefault="000457E8" w:rsidP="000457E8">
      <w:pPr>
        <w:pStyle w:val="ListParagraph"/>
        <w:numPr>
          <w:ilvl w:val="0"/>
          <w:numId w:val="2"/>
        </w:numPr>
      </w:pPr>
      <w:r>
        <w:t xml:space="preserve">The unit powers up in </w:t>
      </w:r>
      <w:r w:rsidR="0039446C">
        <w:t>C</w:t>
      </w:r>
      <w:r>
        <w:t xml:space="preserve">onfiguration </w:t>
      </w:r>
      <w:r w:rsidR="0039446C">
        <w:t>M</w:t>
      </w:r>
      <w:r>
        <w:t>ode wit</w:t>
      </w:r>
      <w:r w:rsidR="00742ACF">
        <w:t>h a blank LCD and no set points</w:t>
      </w:r>
    </w:p>
    <w:p w14:paraId="4A74BC3E" w14:textId="599AC096" w:rsidR="000457E8" w:rsidRDefault="000457E8" w:rsidP="000457E8">
      <w:pPr>
        <w:pStyle w:val="ListParagraph"/>
        <w:numPr>
          <w:ilvl w:val="0"/>
          <w:numId w:val="2"/>
        </w:numPr>
      </w:pPr>
      <w:r>
        <w:t>The unit send</w:t>
      </w:r>
      <w:r w:rsidR="0020477E">
        <w:t>s</w:t>
      </w:r>
      <w:r>
        <w:t xml:space="preserve"> Remote Frames to the IO unit every </w:t>
      </w:r>
      <w:r w:rsidR="00791C0F">
        <w:t xml:space="preserve">two </w:t>
      </w:r>
      <w:r>
        <w:t>second</w:t>
      </w:r>
      <w:r w:rsidR="00791C0F">
        <w:t>s</w:t>
      </w:r>
      <w:r w:rsidR="0039446C">
        <w:t>.</w:t>
      </w:r>
    </w:p>
    <w:p w14:paraId="7B666E90" w14:textId="77777777" w:rsidR="000457E8" w:rsidRDefault="000457E8" w:rsidP="000457E8">
      <w:pPr>
        <w:pStyle w:val="Heading4"/>
      </w:pPr>
      <w:r>
        <w:t>Configuration Mode</w:t>
      </w:r>
    </w:p>
    <w:p w14:paraId="23AC7490" w14:textId="77777777" w:rsidR="00D965E2" w:rsidRDefault="00D965E2" w:rsidP="00D965E2">
      <w:pPr>
        <w:pStyle w:val="ListParagraph"/>
        <w:numPr>
          <w:ilvl w:val="0"/>
          <w:numId w:val="3"/>
        </w:numPr>
      </w:pPr>
      <w:r>
        <w:t>Displays current temperature (F) in center of LCD Line 1</w:t>
      </w:r>
    </w:p>
    <w:p w14:paraId="2A0081AB" w14:textId="77777777" w:rsidR="00D965E2" w:rsidRDefault="00D965E2" w:rsidP="00D965E2">
      <w:pPr>
        <w:pStyle w:val="ListParagraph"/>
        <w:numPr>
          <w:ilvl w:val="0"/>
          <w:numId w:val="3"/>
        </w:numPr>
      </w:pPr>
      <w:r>
        <w:t>BTN3 establishes the LO set point; BTN2 the HI set point</w:t>
      </w:r>
    </w:p>
    <w:p w14:paraId="707B504A" w14:textId="77777777" w:rsidR="00D965E2" w:rsidRDefault="00D965E2" w:rsidP="00D965E2">
      <w:pPr>
        <w:pStyle w:val="ListParagraph"/>
        <w:numPr>
          <w:ilvl w:val="0"/>
          <w:numId w:val="3"/>
        </w:numPr>
      </w:pPr>
      <w:r>
        <w:t>Once established, the set points are displayed at the outside edges of Line 2 with LO on the left</w:t>
      </w:r>
    </w:p>
    <w:p w14:paraId="45C4188D" w14:textId="77777777" w:rsidR="00D965E2" w:rsidRDefault="00D965E2" w:rsidP="00D965E2">
      <w:pPr>
        <w:pStyle w:val="ListParagraph"/>
        <w:numPr>
          <w:ilvl w:val="0"/>
          <w:numId w:val="3"/>
        </w:numPr>
      </w:pPr>
      <w:r>
        <w:t>If the HI set point is less than the LO set points, then they are cleared and the bottom line cleared</w:t>
      </w:r>
    </w:p>
    <w:p w14:paraId="0EEEA1D5" w14:textId="20DB117C" w:rsidR="006331F3" w:rsidRDefault="006331F3" w:rsidP="00D965E2">
      <w:pPr>
        <w:pStyle w:val="ListParagraph"/>
        <w:numPr>
          <w:ilvl w:val="0"/>
          <w:numId w:val="3"/>
        </w:numPr>
      </w:pPr>
      <w:r>
        <w:t xml:space="preserve">BTN1 causes a change </w:t>
      </w:r>
      <w:r w:rsidR="00791C0F">
        <w:t xml:space="preserve">to </w:t>
      </w:r>
      <w:r>
        <w:t>Operational Mode</w:t>
      </w:r>
      <w:r w:rsidR="0039446C">
        <w:t>.</w:t>
      </w:r>
    </w:p>
    <w:p w14:paraId="73C31C3A" w14:textId="77777777" w:rsidR="000457E8" w:rsidRDefault="000457E8" w:rsidP="000457E8">
      <w:pPr>
        <w:pStyle w:val="Heading4"/>
      </w:pPr>
      <w:r>
        <w:t>Operational Mode</w:t>
      </w:r>
    </w:p>
    <w:p w14:paraId="1F1ED196" w14:textId="77777777" w:rsidR="000457E8" w:rsidRDefault="00EE5D1C" w:rsidP="006331F3">
      <w:pPr>
        <w:pStyle w:val="ListParagraph"/>
        <w:numPr>
          <w:ilvl w:val="0"/>
          <w:numId w:val="4"/>
        </w:numPr>
      </w:pPr>
      <w:r>
        <w:t>U</w:t>
      </w:r>
      <w:r w:rsidR="00517818">
        <w:t xml:space="preserve">pdates </w:t>
      </w:r>
      <w:r>
        <w:t xml:space="preserve">the </w:t>
      </w:r>
      <w:r w:rsidR="00791C0F">
        <w:t>LCD when a sensor message is received</w:t>
      </w:r>
      <w:r w:rsidR="00A720CC">
        <w:t xml:space="preserve">, using the </w:t>
      </w:r>
      <w:r w:rsidR="00A720CC" w:rsidRPr="00A720CC">
        <w:rPr>
          <w:u w:val="single"/>
        </w:rPr>
        <w:t>most recent</w:t>
      </w:r>
      <w:r w:rsidR="00A720CC">
        <w:t xml:space="preserve"> data.</w:t>
      </w:r>
    </w:p>
    <w:p w14:paraId="7C5B2C59" w14:textId="77777777" w:rsidR="00CB5EF8" w:rsidRDefault="00CB5EF8" w:rsidP="006331F3">
      <w:pPr>
        <w:pStyle w:val="ListParagraph"/>
        <w:numPr>
          <w:ilvl w:val="0"/>
          <w:numId w:val="4"/>
        </w:numPr>
      </w:pPr>
      <w:r>
        <w:t>LCD displays PWM and RPS on the outer edges of Line1, and LO, TEMP, and HI on Line 2 (see Figure 2)</w:t>
      </w:r>
    </w:p>
    <w:p w14:paraId="50C14FC3" w14:textId="4EA41A77" w:rsidR="00517818" w:rsidRDefault="00517818" w:rsidP="006331F3">
      <w:pPr>
        <w:pStyle w:val="ListParagraph"/>
        <w:numPr>
          <w:ilvl w:val="0"/>
          <w:numId w:val="4"/>
        </w:numPr>
      </w:pPr>
      <w:r>
        <w:t xml:space="preserve">Responds to </w:t>
      </w:r>
      <w:r w:rsidR="0039446C">
        <w:t xml:space="preserve">the </w:t>
      </w:r>
      <w:r>
        <w:t>sensor message with</w:t>
      </w:r>
      <w:r w:rsidR="00AE0C25">
        <w:t xml:space="preserve"> a</w:t>
      </w:r>
      <w:r>
        <w:t xml:space="preserve"> PWM message</w:t>
      </w:r>
      <w:r w:rsidR="0039446C">
        <w:t>.</w:t>
      </w:r>
    </w:p>
    <w:p w14:paraId="231DC861" w14:textId="77777777" w:rsidR="000457E8" w:rsidRDefault="00CB5EF8" w:rsidP="000457E8">
      <w:pPr>
        <w:pStyle w:val="ListParagraph"/>
        <w:numPr>
          <w:ilvl w:val="0"/>
          <w:numId w:val="4"/>
        </w:numPr>
      </w:pPr>
      <w:r>
        <w:lastRenderedPageBreak/>
        <w:t>If TEMP &lt; LO, PWM=20%. If TEMP &gt; HI, PWM=95%. In between is linear function over [30-85]% (see Figure 3)</w:t>
      </w:r>
    </w:p>
    <w:p w14:paraId="489CF13A" w14:textId="77777777" w:rsidR="0069566D" w:rsidRDefault="0069566D" w:rsidP="000457E8">
      <w:pPr>
        <w:pStyle w:val="ListParagraph"/>
        <w:numPr>
          <w:ilvl w:val="0"/>
          <w:numId w:val="4"/>
        </w:numPr>
      </w:pPr>
      <w:r>
        <w:t>BTN1 causes a change to Configuration Mode, but does not alter the set points</w:t>
      </w:r>
    </w:p>
    <w:p w14:paraId="47DF1C8E" w14:textId="77777777" w:rsidR="008D47F4" w:rsidRDefault="00C32015" w:rsidP="00C32015">
      <w:pPr>
        <w:pStyle w:val="Heading2"/>
      </w:pPr>
      <w:r>
        <w:t>Instrumentation (LED Behavior)</w:t>
      </w:r>
    </w:p>
    <w:p w14:paraId="55574F4C" w14:textId="77777777" w:rsidR="00C32015" w:rsidRDefault="00C32015" w:rsidP="00C32015">
      <w:pPr>
        <w:pStyle w:val="ListParagraph"/>
        <w:numPr>
          <w:ilvl w:val="0"/>
          <w:numId w:val="6"/>
        </w:numPr>
      </w:pPr>
      <w:r>
        <w:t>LED1 indicates the state of the Control Unit (ON = Operational)</w:t>
      </w:r>
    </w:p>
    <w:p w14:paraId="1189FD0A" w14:textId="77777777" w:rsidR="00C32015" w:rsidRDefault="00C32015" w:rsidP="00C32015">
      <w:pPr>
        <w:pStyle w:val="ListParagraph"/>
        <w:numPr>
          <w:ilvl w:val="0"/>
          <w:numId w:val="6"/>
        </w:numPr>
      </w:pPr>
      <w:r>
        <w:t xml:space="preserve">LEDA toggles when the Control Unit </w:t>
      </w:r>
      <w:r w:rsidRPr="00C32015">
        <w:rPr>
          <w:u w:val="single"/>
        </w:rPr>
        <w:t>requests</w:t>
      </w:r>
      <w:r>
        <w:t xml:space="preserve"> a sensor message</w:t>
      </w:r>
    </w:p>
    <w:p w14:paraId="75BD27B8" w14:textId="77777777" w:rsidR="00C32015" w:rsidRDefault="00C32015" w:rsidP="00C32015">
      <w:pPr>
        <w:pStyle w:val="ListParagraph"/>
        <w:numPr>
          <w:ilvl w:val="0"/>
          <w:numId w:val="6"/>
        </w:numPr>
      </w:pPr>
      <w:r>
        <w:t xml:space="preserve">LEDB toggles when the </w:t>
      </w:r>
      <w:r w:rsidR="00086450">
        <w:t>Control</w:t>
      </w:r>
      <w:r>
        <w:t xml:space="preserve"> Unit </w:t>
      </w:r>
      <w:r w:rsidR="00086450">
        <w:rPr>
          <w:u w:val="single"/>
        </w:rPr>
        <w:t>receives</w:t>
      </w:r>
      <w:r>
        <w:t xml:space="preserve"> a sensor message</w:t>
      </w:r>
    </w:p>
    <w:p w14:paraId="74A9BBCC" w14:textId="77777777" w:rsidR="00C32015" w:rsidRDefault="00C32015" w:rsidP="00C32015">
      <w:pPr>
        <w:pStyle w:val="ListParagraph"/>
        <w:numPr>
          <w:ilvl w:val="0"/>
          <w:numId w:val="6"/>
        </w:numPr>
      </w:pPr>
      <w:r>
        <w:t xml:space="preserve">LEDC toggles when the Control Unit </w:t>
      </w:r>
      <w:r w:rsidRPr="00C32015">
        <w:rPr>
          <w:u w:val="single"/>
        </w:rPr>
        <w:t>sends</w:t>
      </w:r>
      <w:r>
        <w:t xml:space="preserve"> a PWM message</w:t>
      </w:r>
    </w:p>
    <w:p w14:paraId="2E9667FD" w14:textId="77777777" w:rsidR="00C32015" w:rsidRDefault="00C32015" w:rsidP="00C32015">
      <w:pPr>
        <w:pStyle w:val="ListParagraph"/>
        <w:numPr>
          <w:ilvl w:val="0"/>
          <w:numId w:val="6"/>
        </w:numPr>
      </w:pPr>
      <w:r>
        <w:t xml:space="preserve">LEDD toggles when the IO Unit </w:t>
      </w:r>
      <w:r w:rsidRPr="00C32015">
        <w:rPr>
          <w:u w:val="single"/>
        </w:rPr>
        <w:t>applies</w:t>
      </w:r>
      <w:r>
        <w:t xml:space="preserve"> the received PWM setting</w:t>
      </w:r>
    </w:p>
    <w:p w14:paraId="5B201785" w14:textId="77777777" w:rsidR="008D47F4" w:rsidRDefault="008D47F4" w:rsidP="008D47F4">
      <w:pPr>
        <w:pStyle w:val="Heading2"/>
      </w:pPr>
      <w:r>
        <w:t>Equipment Connections</w:t>
      </w:r>
    </w:p>
    <w:p w14:paraId="79333582" w14:textId="77777777" w:rsidR="008D47F4" w:rsidRDefault="008D47F4" w:rsidP="008D47F4">
      <w:pPr>
        <w:pStyle w:val="ListParagraph"/>
        <w:numPr>
          <w:ilvl w:val="0"/>
          <w:numId w:val="5"/>
        </w:numPr>
      </w:pPr>
      <w:r>
        <w:t>IR Sensor – Attach to J7 (I2C1) such that the green wire is attached to SCL1 and the red wire is attached to 3V3.</w:t>
      </w:r>
      <w:r w:rsidR="001D3319">
        <w:t xml:space="preserve"> (See p. 17 of the Cerebot RM.)</w:t>
      </w:r>
      <w:r w:rsidR="00C32015">
        <w:t xml:space="preserve"> </w:t>
      </w:r>
      <w:r w:rsidR="00C32015" w:rsidRPr="00C32015">
        <w:rPr>
          <w:b/>
          <w:i/>
          <w:u w:val="single"/>
        </w:rPr>
        <w:t>Do not write to the IR Sensor!!!</w:t>
      </w:r>
      <w:r w:rsidR="00B07E43" w:rsidRPr="00B07E43">
        <w:t xml:space="preserve"> Instead, follow </w:t>
      </w:r>
      <w:r w:rsidR="00B07E43" w:rsidRPr="00B05058">
        <w:rPr>
          <w:u w:val="single"/>
        </w:rPr>
        <w:t>Figure 8</w:t>
      </w:r>
      <w:r w:rsidR="00B07E43" w:rsidRPr="00B07E43">
        <w:t xml:space="preserve"> from the IR datasheet to read the temperature, </w:t>
      </w:r>
      <w:r w:rsidR="002D7886" w:rsidRPr="00B07E43">
        <w:t>and then</w:t>
      </w:r>
      <w:r w:rsidR="00B07E43" w:rsidRPr="00B07E43">
        <w:t xml:space="preserve"> follow p. 27 to determine </w:t>
      </w:r>
      <w:r w:rsidR="002D7886">
        <w:t>the object (T</w:t>
      </w:r>
      <w:r w:rsidR="002D7886" w:rsidRPr="002D7886">
        <w:rPr>
          <w:vertAlign w:val="subscript"/>
        </w:rPr>
        <w:t>OBJ1</w:t>
      </w:r>
      <w:r w:rsidR="002D7886">
        <w:t>)</w:t>
      </w:r>
      <w:r w:rsidR="00B07E43" w:rsidRPr="00B07E43">
        <w:t xml:space="preserve"> temperature in degrees Fahrenheit.</w:t>
      </w:r>
      <w:r w:rsidR="00B07E43">
        <w:rPr>
          <w:b/>
          <w:i/>
          <w:u w:val="single"/>
        </w:rPr>
        <w:t xml:space="preserve"> </w:t>
      </w:r>
    </w:p>
    <w:p w14:paraId="3C98C785" w14:textId="4C7D8519" w:rsidR="008D47F4" w:rsidRDefault="008D47F4" w:rsidP="008D47F4">
      <w:pPr>
        <w:pStyle w:val="ListParagraph"/>
        <w:numPr>
          <w:ilvl w:val="0"/>
          <w:numId w:val="5"/>
        </w:numPr>
      </w:pPr>
      <w:r>
        <w:t>CAN Cables – Connect J9 to J10. Make sure that “like” is connected to “like”, i.e., CANH to CANH and 3V3 to 3V3.</w:t>
      </w:r>
      <w:r w:rsidR="007667ED">
        <w:t xml:space="preserve"> </w:t>
      </w:r>
      <w:r w:rsidR="00A35F77">
        <w:t xml:space="preserve">You also need to move JP1 and JP2 into the CAN position. Lastly, position JP5 or JP7 to </w:t>
      </w:r>
      <w:r w:rsidR="00742ACF">
        <w:t>provide a terminating resistor.</w:t>
      </w:r>
      <w:r w:rsidR="00A35F77">
        <w:t xml:space="preserve"> (See p. 14 of the Cerebot RM.)</w:t>
      </w:r>
    </w:p>
    <w:p w14:paraId="4C2B0691" w14:textId="77777777" w:rsidR="008D47F4" w:rsidRDefault="008D47F4" w:rsidP="008D47F4">
      <w:pPr>
        <w:pStyle w:val="ListParagraph"/>
        <w:numPr>
          <w:ilvl w:val="0"/>
          <w:numId w:val="5"/>
        </w:numPr>
      </w:pPr>
      <w:r>
        <w:t>Linear Motor – No changes needed to the ECE 341 platform.</w:t>
      </w:r>
    </w:p>
    <w:p w14:paraId="29A7CCEE" w14:textId="6E0980DF" w:rsidR="008D47F4" w:rsidRDefault="008D47F4" w:rsidP="008D47F4">
      <w:r>
        <w:t xml:space="preserve">Note: The signals on J7, J9, and J10 are replicated on both rows. </w:t>
      </w:r>
    </w:p>
    <w:p w14:paraId="256DA1A7" w14:textId="77777777" w:rsidR="00C32015" w:rsidRDefault="00C32015" w:rsidP="00C32015">
      <w:pPr>
        <w:pStyle w:val="Heading2"/>
      </w:pPr>
      <w:r>
        <w:t>Figures</w:t>
      </w:r>
    </w:p>
    <w:p w14:paraId="79DF3950" w14:textId="77777777" w:rsidR="00C32015" w:rsidRDefault="00C32015" w:rsidP="008D47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05058" w14:paraId="2D6228D5" w14:textId="77777777" w:rsidTr="00425B61">
        <w:tc>
          <w:tcPr>
            <w:tcW w:w="9576" w:type="dxa"/>
            <w:vAlign w:val="center"/>
          </w:tcPr>
          <w:p w14:paraId="03A6B45E" w14:textId="77777777" w:rsidR="00B05058" w:rsidRDefault="00EE21F6" w:rsidP="00425B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1CC129" wp14:editId="492B25EC">
                  <wp:extent cx="5943600" cy="1824355"/>
                  <wp:effectExtent l="19050" t="0" r="0" b="0"/>
                  <wp:docPr id="1" name="Picture 0" descr="IMG_00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1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058" w14:paraId="0C5F0680" w14:textId="77777777" w:rsidTr="00425B61">
        <w:tc>
          <w:tcPr>
            <w:tcW w:w="9576" w:type="dxa"/>
            <w:vAlign w:val="center"/>
          </w:tcPr>
          <w:p w14:paraId="29C52D13" w14:textId="77777777" w:rsidR="00B05058" w:rsidRDefault="00B05058" w:rsidP="00425B61">
            <w:pPr>
              <w:jc w:val="center"/>
            </w:pPr>
            <w:r>
              <w:t>Figure 1 – System Structure</w:t>
            </w:r>
          </w:p>
        </w:tc>
      </w:tr>
    </w:tbl>
    <w:p w14:paraId="348912C0" w14:textId="77777777" w:rsidR="00B05058" w:rsidRDefault="00B05058" w:rsidP="008D47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15A2" w14:paraId="03F0F81F" w14:textId="77777777" w:rsidTr="00E915A2">
        <w:tc>
          <w:tcPr>
            <w:tcW w:w="9576" w:type="dxa"/>
            <w:vAlign w:val="center"/>
          </w:tcPr>
          <w:p w14:paraId="09A116B6" w14:textId="77777777" w:rsidR="00E915A2" w:rsidRDefault="00E915A2" w:rsidP="00E915A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75ABB75" wp14:editId="0ED6407D">
                  <wp:extent cx="3913632" cy="3752088"/>
                  <wp:effectExtent l="19050" t="0" r="0" b="0"/>
                  <wp:docPr id="3" name="Picture 2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632" cy="375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058" w14:paraId="0B271075" w14:textId="77777777" w:rsidTr="00E915A2">
        <w:tc>
          <w:tcPr>
            <w:tcW w:w="9576" w:type="dxa"/>
            <w:vAlign w:val="center"/>
          </w:tcPr>
          <w:p w14:paraId="4E6B72FC" w14:textId="77777777" w:rsidR="00B05058" w:rsidRDefault="00E915A2" w:rsidP="00E915A2">
            <w:pPr>
              <w:jc w:val="center"/>
            </w:pPr>
            <w:r>
              <w:t>Figure 2 – LCD Format</w:t>
            </w:r>
          </w:p>
        </w:tc>
      </w:tr>
      <w:tr w:rsidR="00E915A2" w14:paraId="79127D5F" w14:textId="77777777" w:rsidTr="00E915A2">
        <w:tc>
          <w:tcPr>
            <w:tcW w:w="9576" w:type="dxa"/>
            <w:vAlign w:val="center"/>
          </w:tcPr>
          <w:p w14:paraId="74AF02FC" w14:textId="77777777" w:rsidR="00E915A2" w:rsidRDefault="00E915A2" w:rsidP="00E915A2">
            <w:pPr>
              <w:jc w:val="center"/>
            </w:pPr>
            <w:r>
              <w:t>Legend: LO/HI Set points – L/H; Object Temperature (F) – O; PWM – X; Speed (RPS) – y.</w:t>
            </w:r>
          </w:p>
        </w:tc>
      </w:tr>
    </w:tbl>
    <w:p w14:paraId="5560A138" w14:textId="77777777" w:rsidR="00B05058" w:rsidRDefault="00B05058" w:rsidP="008D47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05058" w14:paraId="1719D2FE" w14:textId="77777777" w:rsidTr="00933299">
        <w:tc>
          <w:tcPr>
            <w:tcW w:w="9576" w:type="dxa"/>
            <w:vAlign w:val="center"/>
          </w:tcPr>
          <w:p w14:paraId="7715B6FC" w14:textId="77777777" w:rsidR="00B05058" w:rsidRDefault="00FC2883" w:rsidP="009332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4ABBD" wp14:editId="32ED5192">
                  <wp:extent cx="4410456" cy="2791968"/>
                  <wp:effectExtent l="19050" t="0" r="9144" b="0"/>
                  <wp:docPr id="2" name="Picture 1" descr="IMG_0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2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456" cy="279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058" w14:paraId="66E7CFE7" w14:textId="77777777" w:rsidTr="00933299">
        <w:tc>
          <w:tcPr>
            <w:tcW w:w="9576" w:type="dxa"/>
            <w:vAlign w:val="center"/>
          </w:tcPr>
          <w:p w14:paraId="54C00E0C" w14:textId="77777777" w:rsidR="00B05058" w:rsidRDefault="00B05058" w:rsidP="00933299">
            <w:pPr>
              <w:jc w:val="center"/>
            </w:pPr>
            <w:r>
              <w:t>Figure 3 – PWM versus Temperature Set Points</w:t>
            </w:r>
          </w:p>
        </w:tc>
      </w:tr>
    </w:tbl>
    <w:p w14:paraId="661FC02F" w14:textId="77777777" w:rsidR="00285228" w:rsidRDefault="00285228"/>
    <w:sectPr w:rsidR="00285228" w:rsidSect="008D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BB6"/>
    <w:multiLevelType w:val="hybridMultilevel"/>
    <w:tmpl w:val="FB7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0E45"/>
    <w:multiLevelType w:val="hybridMultilevel"/>
    <w:tmpl w:val="3A1C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0F4E"/>
    <w:multiLevelType w:val="hybridMultilevel"/>
    <w:tmpl w:val="8D60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425C6"/>
    <w:multiLevelType w:val="hybridMultilevel"/>
    <w:tmpl w:val="B10C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2EA8"/>
    <w:multiLevelType w:val="hybridMultilevel"/>
    <w:tmpl w:val="3FD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222F9"/>
    <w:multiLevelType w:val="hybridMultilevel"/>
    <w:tmpl w:val="A49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654"/>
    <w:rsid w:val="000457E8"/>
    <w:rsid w:val="00086450"/>
    <w:rsid w:val="0010037E"/>
    <w:rsid w:val="00196BF4"/>
    <w:rsid w:val="001A1147"/>
    <w:rsid w:val="001D3319"/>
    <w:rsid w:val="0020477E"/>
    <w:rsid w:val="00285228"/>
    <w:rsid w:val="002D7886"/>
    <w:rsid w:val="0039446C"/>
    <w:rsid w:val="0039626E"/>
    <w:rsid w:val="00406334"/>
    <w:rsid w:val="00425B61"/>
    <w:rsid w:val="004A60BD"/>
    <w:rsid w:val="00517818"/>
    <w:rsid w:val="00527095"/>
    <w:rsid w:val="005A19F9"/>
    <w:rsid w:val="00605654"/>
    <w:rsid w:val="006331F3"/>
    <w:rsid w:val="0069566D"/>
    <w:rsid w:val="006A13C3"/>
    <w:rsid w:val="006E7B06"/>
    <w:rsid w:val="00742ACF"/>
    <w:rsid w:val="007667ED"/>
    <w:rsid w:val="0078443D"/>
    <w:rsid w:val="00791C0F"/>
    <w:rsid w:val="007D0778"/>
    <w:rsid w:val="008361E7"/>
    <w:rsid w:val="00876DE2"/>
    <w:rsid w:val="008D47F4"/>
    <w:rsid w:val="00911CC6"/>
    <w:rsid w:val="00933299"/>
    <w:rsid w:val="009926EE"/>
    <w:rsid w:val="00A35F77"/>
    <w:rsid w:val="00A720CC"/>
    <w:rsid w:val="00AE0C25"/>
    <w:rsid w:val="00B05058"/>
    <w:rsid w:val="00B07E43"/>
    <w:rsid w:val="00B34D62"/>
    <w:rsid w:val="00C32015"/>
    <w:rsid w:val="00CB5EF8"/>
    <w:rsid w:val="00D965E2"/>
    <w:rsid w:val="00E63DEB"/>
    <w:rsid w:val="00E76DA2"/>
    <w:rsid w:val="00E915A2"/>
    <w:rsid w:val="00EE21F6"/>
    <w:rsid w:val="00EE5D1C"/>
    <w:rsid w:val="00F77561"/>
    <w:rsid w:val="00FC2883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D585"/>
  <w15:docId w15:val="{9C2E1008-BC40-47B7-9DD2-6474A5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EE"/>
  </w:style>
  <w:style w:type="paragraph" w:styleId="Heading1">
    <w:name w:val="heading 1"/>
    <w:basedOn w:val="Normal"/>
    <w:next w:val="Normal"/>
    <w:link w:val="Heading1Char"/>
    <w:uiPriority w:val="9"/>
    <w:qFormat/>
    <w:rsid w:val="00E63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5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3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D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63DE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45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457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45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B0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9B1C4-8683-4774-874D-BC982DE8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36</cp:revision>
  <cp:lastPrinted>2015-10-26T20:10:00Z</cp:lastPrinted>
  <dcterms:created xsi:type="dcterms:W3CDTF">2015-10-22T23:30:00Z</dcterms:created>
  <dcterms:modified xsi:type="dcterms:W3CDTF">2022-09-29T21:30:00Z</dcterms:modified>
</cp:coreProperties>
</file>